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B358D" w14:textId="77777777" w:rsidR="008A0A38" w:rsidRDefault="00F20F64">
      <w:pPr>
        <w:pStyle w:val="Subttulo"/>
        <w:spacing w:before="0" w:after="0"/>
        <w:ind w:left="-426" w:right="-28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PROJETO DE LEI Nº</w:t>
      </w:r>
      <w:r w:rsidR="00704CEC">
        <w:rPr>
          <w:rFonts w:ascii="Arial" w:eastAsia="Arial" w:hAnsi="Arial" w:cs="Arial"/>
        </w:rPr>
        <w:t xml:space="preserve"> 054</w:t>
      </w:r>
      <w:r>
        <w:rPr>
          <w:rFonts w:ascii="Arial" w:eastAsia="Arial" w:hAnsi="Arial" w:cs="Arial"/>
        </w:rPr>
        <w:t>, DE 14 DE NOVEMBRO DE 2025</w:t>
      </w:r>
    </w:p>
    <w:p w14:paraId="5C324580" w14:textId="77777777" w:rsidR="008A0A38" w:rsidRDefault="00F20F64">
      <w:pPr>
        <w:pStyle w:val="Subttulo"/>
        <w:spacing w:before="0" w:after="0"/>
        <w:ind w:left="-426" w:right="-284"/>
        <w:jc w:val="center"/>
        <w:rPr>
          <w:rFonts w:ascii="Arial" w:eastAsia="Arial" w:hAnsi="Arial" w:cs="Arial"/>
        </w:rPr>
      </w:pPr>
      <w:bookmarkStart w:id="0" w:name="_jpc997pm6bj5" w:colFirst="0" w:colLast="0"/>
      <w:bookmarkEnd w:id="0"/>
      <w:r>
        <w:rPr>
          <w:rFonts w:ascii="Arial" w:eastAsia="Arial" w:hAnsi="Arial" w:cs="Arial"/>
          <w:b w:val="0"/>
          <w:bCs w:val="0"/>
        </w:rPr>
        <w:t xml:space="preserve">(Autoria: Poder Executivo) </w:t>
      </w:r>
    </w:p>
    <w:p w14:paraId="0FA13344" w14:textId="77777777" w:rsidR="008A0A38" w:rsidRDefault="008A0A38">
      <w:pPr>
        <w:spacing w:before="0" w:after="0"/>
        <w:ind w:left="4395" w:right="-284" w:firstLine="0"/>
        <w:rPr>
          <w:rFonts w:ascii="Arial" w:eastAsia="Arial" w:hAnsi="Arial" w:cs="Arial"/>
        </w:rPr>
      </w:pPr>
    </w:p>
    <w:p w14:paraId="36388388" w14:textId="77777777" w:rsidR="008A0A38" w:rsidRDefault="00F20F64">
      <w:pPr>
        <w:spacing w:before="0" w:after="0"/>
        <w:ind w:left="4395" w:right="-284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Estima a Receita e Fixa a Despesa do Município de Boa Vista do Sul para o Exercício Financeiro de 2026</w:t>
      </w:r>
      <w:r>
        <w:rPr>
          <w:rFonts w:ascii="Arial" w:eastAsia="Arial" w:hAnsi="Arial" w:cs="Arial"/>
          <w:b/>
          <w:bCs/>
        </w:rPr>
        <w:t>.</w:t>
      </w:r>
    </w:p>
    <w:p w14:paraId="311ACB5A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  <w:b/>
          <w:bCs/>
        </w:rPr>
      </w:pPr>
    </w:p>
    <w:p w14:paraId="6BF81874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CAPÍTULO I</w:t>
      </w:r>
    </w:p>
    <w:p w14:paraId="27CF1566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DISPOSIÇÕES PRELIMINARES</w:t>
      </w:r>
    </w:p>
    <w:p w14:paraId="4E74BC40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p w14:paraId="6F66C70D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Artigo 1º Esta Lei estima a Receita e fixa a Despesa do Município para o exercício financeiro de 2026, compreendendo:</w:t>
      </w:r>
    </w:p>
    <w:p w14:paraId="54EF3BD3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I - </w:t>
      </w:r>
      <w:proofErr w:type="gramStart"/>
      <w:r>
        <w:rPr>
          <w:rFonts w:ascii="Arial" w:eastAsia="Arial" w:hAnsi="Arial" w:cs="Arial"/>
        </w:rPr>
        <w:t>o</w:t>
      </w:r>
      <w:proofErr w:type="gramEnd"/>
      <w:r>
        <w:rPr>
          <w:rFonts w:ascii="Arial" w:eastAsia="Arial" w:hAnsi="Arial" w:cs="Arial"/>
        </w:rPr>
        <w:t xml:space="preserve"> Orçamento Fiscal, referente aos Poderes do Município, seus fundos, órgãos e entidades da Administração Pública Municipal Direta;</w:t>
      </w:r>
    </w:p>
    <w:p w14:paraId="78D70276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II - </w:t>
      </w:r>
      <w:proofErr w:type="gramStart"/>
      <w:r>
        <w:rPr>
          <w:rFonts w:ascii="Arial" w:eastAsia="Arial" w:hAnsi="Arial" w:cs="Arial"/>
        </w:rPr>
        <w:t>o</w:t>
      </w:r>
      <w:proofErr w:type="gramEnd"/>
      <w:r>
        <w:rPr>
          <w:rFonts w:ascii="Arial" w:eastAsia="Arial" w:hAnsi="Arial" w:cs="Arial"/>
        </w:rPr>
        <w:t xml:space="preserve"> Orçamento da Seguridade Social, abrangendo todas as entidades e órgãos da Administração Direta a ele vinculados.</w:t>
      </w:r>
    </w:p>
    <w:p w14:paraId="6B866FE3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p w14:paraId="1F7F3D98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CAPÍTULO II</w:t>
      </w:r>
    </w:p>
    <w:p w14:paraId="6F6AB9DF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 ORÇAMENTO FISCAL E DA SEGURIDADE SOCIAL</w:t>
      </w:r>
    </w:p>
    <w:p w14:paraId="6C698F0E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Seção I</w:t>
      </w:r>
    </w:p>
    <w:p w14:paraId="28A1ED6B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 Estimativa da Receita</w:t>
      </w:r>
    </w:p>
    <w:p w14:paraId="671DF9E9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p w14:paraId="040949E6" w14:textId="77777777" w:rsidR="008A0A38" w:rsidRDefault="00F20F64">
      <w:pPr>
        <w:spacing w:before="0" w:after="0"/>
        <w:ind w:left="-284" w:right="-284" w:firstLine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Artigo 2º A Receita Orçamentária é estimada, no mesmo valor da Despesa, em </w:t>
      </w:r>
      <w:r>
        <w:rPr>
          <w:rFonts w:ascii="Arial" w:eastAsia="Arial" w:hAnsi="Arial" w:cs="Arial"/>
          <w:b/>
          <w:bCs/>
        </w:rPr>
        <w:t>R$ 43.335.000,00 (quarenta e três milhões, trezentos e trinta e cinco mil reais).</w:t>
      </w:r>
    </w:p>
    <w:p w14:paraId="73649F65" w14:textId="77777777" w:rsidR="008A0A38" w:rsidRDefault="008A0A38">
      <w:pPr>
        <w:spacing w:before="0" w:after="0"/>
        <w:ind w:left="-284" w:right="-284" w:firstLine="284"/>
        <w:rPr>
          <w:rFonts w:ascii="Arial" w:eastAsia="Arial" w:hAnsi="Arial" w:cs="Arial"/>
          <w:b/>
          <w:bCs/>
        </w:rPr>
      </w:pPr>
    </w:p>
    <w:p w14:paraId="7643D149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Artigo 3º A estimativa da receita por Categoria Econômica, segundo a origem dos recursos, será realizada com base no produto do que for arrecadado, na forma da legislação vigente e de acordo com o seguinte desdobramento:</w:t>
      </w:r>
    </w:p>
    <w:p w14:paraId="22C0D76E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p w14:paraId="5B155ED1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tbl>
      <w:tblPr>
        <w:tblStyle w:val="a"/>
        <w:tblW w:w="9100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4600"/>
        <w:gridCol w:w="1500"/>
        <w:gridCol w:w="1500"/>
        <w:gridCol w:w="1500"/>
      </w:tblGrid>
      <w:tr w:rsidR="008A0A38" w14:paraId="4783353E" w14:textId="77777777">
        <w:trPr>
          <w:trHeight w:val="510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14:paraId="5DE3592E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ESPECIFICAÇÃO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5E13112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 LIVRES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5B2466F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 VINCULADOS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E8DF881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</w:tr>
      <w:tr w:rsidR="008A0A38" w14:paraId="5715B472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9E773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D4F93A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0E13DE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C0F6EA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3CDCDBB1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6B8574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 – RECEITAS CORRENTES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F9EF4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31.377.210,00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5E3E0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9.517.290,00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57D8ED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40.894.500,00</w:t>
            </w:r>
          </w:p>
        </w:tc>
      </w:tr>
      <w:tr w:rsidR="008A0A38" w14:paraId="13BC1EFB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E4E12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Impostos Taxas e Contribuições de Melhoria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A9D81F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2.519.980,00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8E8AA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8.060,00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26A514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2.528.040,00</w:t>
            </w:r>
          </w:p>
        </w:tc>
      </w:tr>
      <w:tr w:rsidR="008A0A38" w14:paraId="4DF1C946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FD3A08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Receita de Contribuições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7A81D3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76D9A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950.700,00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886E0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950.700,00</w:t>
            </w:r>
          </w:p>
        </w:tc>
      </w:tr>
      <w:tr w:rsidR="008A0A38" w14:paraId="32DC4E97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C36E4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Receita Patrimonial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6975B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902.660,00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3D535C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3.892.330,00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7E219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4.794.990,00</w:t>
            </w:r>
          </w:p>
        </w:tc>
      </w:tr>
      <w:tr w:rsidR="008A0A38" w14:paraId="45121ADA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BFC66E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Receita Agropecuária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2C400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A2279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D6734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52E8AC7F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29CFAC7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Receita Industrial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4D9F7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BEBD67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18FC0E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6D813BEA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2E55A9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Receita de Serviços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98FFD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1.274.310,00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9BFE4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E779AF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1.274.310,00</w:t>
            </w:r>
          </w:p>
        </w:tc>
      </w:tr>
      <w:tr w:rsidR="008A0A38" w14:paraId="6EE558E2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E46AB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Transferências Correntes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DE6E6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26.538.370,00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3E5EA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4.303.770,00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C2027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30.842.140,00</w:t>
            </w:r>
          </w:p>
        </w:tc>
      </w:tr>
      <w:tr w:rsidR="008A0A38" w14:paraId="5BBCE90B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F8FC52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Outras Receitas Correntes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98AFDC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141.890,00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366CF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362.430,00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FF506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504.320,00</w:t>
            </w:r>
          </w:p>
        </w:tc>
      </w:tr>
      <w:tr w:rsidR="008A0A38" w14:paraId="3FB57870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945327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EAE1FE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909BF0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5F128C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550C2E96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DA322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 – RECEITAS DE CAPITAL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C22D3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44CD81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0BC18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8A0A38" w14:paraId="66509B59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640277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Operações de Crédito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ABF5E2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8AFC1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0F5F1F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4159FA43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64808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Alienação de Bens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3A34A5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67547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91FBB1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7D0AEDB7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E2B50E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Amortização de Empréstimos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B48B65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F8758A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60077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3DE1EE35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74E79FF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Transferências de Capital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8AAF08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0D90F3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291A4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3609AEA1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7C4DF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Outras Receitas de Capital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C8712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AA985E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483240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5D3A7F51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C7D360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A8E4E5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060F28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449CA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67CD81D2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333FA9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 – RECEITAS CORRENTES INTRAORÇAM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1E0C3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8C6667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2.440.500,00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E5541E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2.440.500,00</w:t>
            </w:r>
          </w:p>
        </w:tc>
      </w:tr>
      <w:tr w:rsidR="008A0A38" w14:paraId="14E92114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FA45C1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Receita de Contribuições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52EF9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BED5C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2.440.500,00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D1B8C7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2.440.500,00</w:t>
            </w:r>
          </w:p>
        </w:tc>
      </w:tr>
      <w:tr w:rsidR="008A0A38" w14:paraId="46BEE71B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A6C04D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Receita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Parimonial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E2C211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DFF38E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36574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226DF9D3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B4C60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Outras Receitas Correntes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61D145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A230B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34820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6A47C443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015E9F8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3BDB28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F769A0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FF756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1541C398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4121FE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 – RECEITAS DE CAPITAL INTRAORÇAM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C1FD7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424AEA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E4DAF0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8A0A38" w14:paraId="1E38F54A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F95C56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Alienação de Bens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75818F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C2D81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2E960F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37831441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A26D567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Amortização de Empréstimos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D588C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0EC917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950F9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35701FAC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AACCEB7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Outras Receitas de Capital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28318C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A5B2D8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6EEE26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7FD89391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E14D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07F1C5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6E24F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8E0EB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3C9E4E46" w14:textId="77777777">
        <w:trPr>
          <w:trHeight w:val="25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22E3E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D4D11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31.377.210,00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65837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11.957.790,00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725E7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43.335.000,00</w:t>
            </w:r>
          </w:p>
        </w:tc>
      </w:tr>
    </w:tbl>
    <w:p w14:paraId="202DADDF" w14:textId="77777777" w:rsidR="008A0A38" w:rsidRDefault="008A0A38">
      <w:pPr>
        <w:spacing w:before="0" w:after="0"/>
        <w:ind w:left="-425" w:right="-284" w:firstLine="0"/>
        <w:jc w:val="center"/>
        <w:rPr>
          <w:rFonts w:ascii="Arial" w:eastAsia="Arial" w:hAnsi="Arial" w:cs="Arial"/>
          <w:b/>
          <w:bCs/>
        </w:rPr>
      </w:pPr>
    </w:p>
    <w:p w14:paraId="137400B5" w14:textId="77777777" w:rsidR="008A0A38" w:rsidRDefault="00F20F64">
      <w:pPr>
        <w:spacing w:before="0" w:after="0"/>
        <w:ind w:left="-425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Seção II</w:t>
      </w:r>
    </w:p>
    <w:p w14:paraId="644BD82C" w14:textId="77777777" w:rsidR="008A0A38" w:rsidRDefault="00F20F64">
      <w:pPr>
        <w:spacing w:before="0" w:after="0"/>
        <w:ind w:left="-425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 Fixação da Despesa</w:t>
      </w:r>
    </w:p>
    <w:p w14:paraId="4CB10792" w14:textId="77777777" w:rsidR="008A0A38" w:rsidRDefault="00F20F64">
      <w:pPr>
        <w:spacing w:before="0" w:after="0"/>
        <w:ind w:left="-425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 xml:space="preserve">Artigo 4º A Despesa Orçamentária, no mesmo valor da Receita Orçamentária, é fixada em </w:t>
      </w:r>
      <w:r>
        <w:rPr>
          <w:rFonts w:ascii="Arial" w:eastAsia="Arial" w:hAnsi="Arial" w:cs="Arial"/>
          <w:b/>
          <w:bCs/>
        </w:rPr>
        <w:t>R$ 43.335.000,00 (quarenta e três milhões, trezentos e trinta e cinco mil reais)</w:t>
      </w:r>
      <w:r>
        <w:rPr>
          <w:rFonts w:ascii="Arial" w:eastAsia="Arial" w:hAnsi="Arial" w:cs="Arial"/>
        </w:rPr>
        <w:t>, sendo:</w:t>
      </w:r>
    </w:p>
    <w:p w14:paraId="3E7C41FB" w14:textId="77777777" w:rsidR="008A0A38" w:rsidRDefault="00F20F64">
      <w:pPr>
        <w:spacing w:before="0" w:after="0"/>
        <w:ind w:left="-425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I - No Orçamento Fiscal, em R$ 27.349.750,00 (vinte e sete milhões, trezentos e quarenta e nove mil e setecentos e cinquenta reais);</w:t>
      </w:r>
    </w:p>
    <w:p w14:paraId="3FFC2123" w14:textId="77777777" w:rsidR="008A0A38" w:rsidRDefault="00F20F64">
      <w:pPr>
        <w:spacing w:before="0" w:after="0"/>
        <w:ind w:left="-425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II - No Orçamento da Seguridade Social, em R$ 15.985.250,00 (quinze milhões, novecentos e oitenta e cinco mil e duzentos e cinquenta reais);</w:t>
      </w:r>
    </w:p>
    <w:p w14:paraId="46900538" w14:textId="77777777" w:rsidR="008A0A38" w:rsidRDefault="008A0A38">
      <w:pPr>
        <w:spacing w:before="0" w:after="0"/>
        <w:ind w:left="-425" w:right="-284" w:firstLine="0"/>
        <w:rPr>
          <w:rFonts w:ascii="Arial" w:eastAsia="Arial" w:hAnsi="Arial" w:cs="Arial"/>
        </w:rPr>
      </w:pPr>
    </w:p>
    <w:p w14:paraId="1E251674" w14:textId="77777777" w:rsidR="008A0A38" w:rsidRDefault="00F20F64">
      <w:pPr>
        <w:spacing w:before="0" w:after="0"/>
        <w:ind w:left="-425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>Artigo 5º A despesa total fixada apresenta o seguinte desdobramento:</w:t>
      </w:r>
    </w:p>
    <w:tbl>
      <w:tblPr>
        <w:tblStyle w:val="a0"/>
        <w:tblW w:w="9031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4531"/>
        <w:gridCol w:w="1500"/>
        <w:gridCol w:w="1500"/>
        <w:gridCol w:w="1500"/>
      </w:tblGrid>
      <w:tr w:rsidR="008A0A38" w14:paraId="2C82E171" w14:textId="77777777">
        <w:trPr>
          <w:trHeight w:val="51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14:paraId="0FDB2334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ESPECIFICAÇÃO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64E24B2B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 LIVRES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586AA32F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 VINCULADOS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E0337DD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</w:tr>
      <w:tr w:rsidR="008A0A38" w14:paraId="5E9CDBB5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0F82D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21A72C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BB30B5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C820B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100C0441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A5A212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DESPESAS CORRENTES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4754E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17.959.100,00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691A70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19.873.390,00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CC22B8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37.832.490,00</w:t>
            </w:r>
          </w:p>
        </w:tc>
      </w:tr>
      <w:tr w:rsidR="008A0A38" w14:paraId="4A7FD889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0BE5EA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Pessoal e Encargos Sociais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0139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5.714.500,00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7CF3B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11.807.900,00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439F1F4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17.522.400,00</w:t>
            </w:r>
          </w:p>
        </w:tc>
      </w:tr>
      <w:tr w:rsidR="008A0A38" w14:paraId="6EA48201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2CF4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Pessoal e Encargos Sociais Oper.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Intraorçam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6593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888.000,00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C87F7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1.587.300,00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30CE1FB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2.475.300,00</w:t>
            </w:r>
          </w:p>
        </w:tc>
      </w:tr>
      <w:tr w:rsidR="008A0A38" w14:paraId="34700C99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1C533B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Juros e Encargos da Dívida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1C37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BA3AB0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20E60C3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72D34CA7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02944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Outras Despesas Correntes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BEDD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11.356.600,00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BF5C2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6.478.190,00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253EBC8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17.834.790,00</w:t>
            </w:r>
          </w:p>
        </w:tc>
      </w:tr>
      <w:tr w:rsidR="008A0A38" w14:paraId="3C2863CB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3089B2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Operações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Intraorçamentárias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F423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3BF59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D48C7D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1C1DF6BB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893BE8" w14:textId="77777777" w:rsidR="008A0A38" w:rsidRDefault="00F20F64">
            <w:pPr>
              <w:spacing w:before="0" w:after="0" w:line="240" w:lineRule="auto"/>
              <w:ind w:firstLine="40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FCC395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8C023B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26A89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0A617691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F29EB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DESPESAS DE CAPITAL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347E8D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2.389.590,00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BD9E4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616.920,00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D6F1AB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3.006.510,00</w:t>
            </w:r>
          </w:p>
        </w:tc>
      </w:tr>
      <w:tr w:rsidR="008A0A38" w14:paraId="28386460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E4B1A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Investimentos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407A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2.389.590,00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386580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616.920,00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23EBCD8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3.006.510,00</w:t>
            </w:r>
          </w:p>
        </w:tc>
      </w:tr>
      <w:tr w:rsidR="008A0A38" w14:paraId="46387D10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6F706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Amortização da Dívida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8A5E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4100A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3CC3FFC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</w:tr>
      <w:tr w:rsidR="008A0A38" w14:paraId="03BC4C4E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22ADC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RESERVA DE CONTINGÊNCIA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0578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120.000,00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9DB638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20875B0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120.000,00</w:t>
            </w:r>
          </w:p>
        </w:tc>
      </w:tr>
      <w:tr w:rsidR="008A0A38" w14:paraId="148D4435" w14:textId="77777777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C7EC41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RESERVA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  R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P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F61F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01B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2.376.000,00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6291F5B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2.376.000,00</w:t>
            </w:r>
          </w:p>
        </w:tc>
      </w:tr>
      <w:tr w:rsidR="008A0A38" w14:paraId="2F82454F" w14:textId="77777777">
        <w:trPr>
          <w:trHeight w:val="25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51FD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1C1B3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20.468.690,00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E0C8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22.866.310,00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43DD0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43.335.000,00</w:t>
            </w:r>
          </w:p>
        </w:tc>
      </w:tr>
    </w:tbl>
    <w:p w14:paraId="33A9A85D" w14:textId="77777777" w:rsidR="008A0A38" w:rsidRDefault="008A0A38">
      <w:pPr>
        <w:spacing w:line="276" w:lineRule="auto"/>
        <w:ind w:left="-426" w:right="-285" w:firstLine="0"/>
        <w:rPr>
          <w:rFonts w:ascii="Arial" w:eastAsia="Arial" w:hAnsi="Arial" w:cs="Arial"/>
        </w:rPr>
      </w:pPr>
    </w:p>
    <w:p w14:paraId="0EACC843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Artigo 6º Integram esta Lei, nos termos do artigo 7º da Lei Municipal nº 1.293/2025, que dispõe sobre as Diretrizes Orçamentárias para o Exercício Financeiro de 2026, os anexos contendo os quadros orçamentários e demonstrativos das Receitas e Despesas, a programação de trabalho das unidades orçamentárias e o detalhamento dos créditos orçamentários.</w:t>
      </w:r>
    </w:p>
    <w:p w14:paraId="158B68F7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Seção III</w:t>
      </w:r>
    </w:p>
    <w:p w14:paraId="20468F2B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 Autorização para Abertura de Créditos Suplementares</w:t>
      </w:r>
    </w:p>
    <w:p w14:paraId="4DEF2A61" w14:textId="77777777" w:rsidR="008A0A38" w:rsidRDefault="008A0A38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</w:p>
    <w:p w14:paraId="6B39A932" w14:textId="77777777" w:rsidR="008A0A38" w:rsidRDefault="00F20F64">
      <w:pPr>
        <w:spacing w:before="0" w:after="0"/>
        <w:ind w:left="-426" w:right="-284" w:firstLine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Artigo 7º Ficam autorizados:</w:t>
      </w:r>
    </w:p>
    <w:p w14:paraId="1E1CDAD4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I – Ao Poder Executivo, mediante Decreto, a abertura de Créditos Suplementares até o limite de 30% (trinta por cento) da sua despesa total fixada, compreendendo as operações </w:t>
      </w:r>
      <w:proofErr w:type="spellStart"/>
      <w:r>
        <w:rPr>
          <w:rFonts w:ascii="Arial" w:eastAsia="Arial" w:hAnsi="Arial" w:cs="Arial"/>
        </w:rPr>
        <w:t>intraorçamentárias</w:t>
      </w:r>
      <w:proofErr w:type="spellEnd"/>
      <w:r>
        <w:rPr>
          <w:rFonts w:ascii="Arial" w:eastAsia="Arial" w:hAnsi="Arial" w:cs="Arial"/>
        </w:rPr>
        <w:t>, com a finalidade de suprir insuficiências de dotações orçamentárias, mediante a utilização de recursos provenientes de:</w:t>
      </w:r>
    </w:p>
    <w:p w14:paraId="5403ADA3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a) anulação parcial ou total de suas dotações, inclusive a Reserva de Contingência, observado o disposto no artigo 10 da Lei Municipal Nº 1.293/2025, que dispõe sobre as Diretrizes Orçamentárias para o exercício financeiro de 2026;</w:t>
      </w:r>
    </w:p>
    <w:p w14:paraId="2C293004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</w:t>
      </w:r>
      <w:r>
        <w:rPr>
          <w:rFonts w:ascii="Arial" w:eastAsia="Arial" w:hAnsi="Arial" w:cs="Arial"/>
        </w:rPr>
        <w:tab/>
        <w:t>b) incorporação de superávit financeiro do exercício anterior, bem como o que for gerado em 2026 a partir do cancelamento de restos a pagar, obedecidas as respectivas fontes/destinações de recursos;</w:t>
      </w:r>
    </w:p>
    <w:p w14:paraId="4323CF36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c) excesso de arrecadação, a ser apurado nos termos do Artigo 43, § 3º, da Lei Federal nº 4.320/1964, obedecidas as respectivas fontes/destinações de recursos.</w:t>
      </w:r>
    </w:p>
    <w:p w14:paraId="4FD12894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II – Ao Poder Legislativo, mediante Resolução da Mesa Diretora da Câmara, a abertura de Créditos Suplementares até o limite de 30% (trinta por cento) de sua despesa total fixada, compreendendo as operações </w:t>
      </w:r>
      <w:proofErr w:type="spellStart"/>
      <w:r>
        <w:rPr>
          <w:rFonts w:ascii="Arial" w:eastAsia="Arial" w:hAnsi="Arial" w:cs="Arial"/>
        </w:rPr>
        <w:t>intraorçamentárias</w:t>
      </w:r>
      <w:proofErr w:type="spellEnd"/>
      <w:r>
        <w:rPr>
          <w:rFonts w:ascii="Arial" w:eastAsia="Arial" w:hAnsi="Arial" w:cs="Arial"/>
        </w:rPr>
        <w:t xml:space="preserve"> da Câmara, com a finalidade de suprir insuficiências de suas dotações orçamentárias, desde que sejam indicados, como recursos, a anulação parcial ou total de dotações do próprio Poder Legislativo.</w:t>
      </w:r>
    </w:p>
    <w:p w14:paraId="260E8711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Parágrafo único. As autorizações de que tratam os incisos I e II do caput abrangem também as suplementações de programações que forem incluídas na Lei Orçamentária através de créditos especiais.</w:t>
      </w:r>
    </w:p>
    <w:p w14:paraId="16604DBA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Artigo 8º Além dos créditos suplementares autorizados no inciso I do artigo 7º, e sem prejuízo do limite nele estabelecido, fica o Poder Executivo também autorizado a abrir créditos suplementares destinados ao reforço de:</w:t>
      </w:r>
    </w:p>
    <w:p w14:paraId="0792950B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I - </w:t>
      </w:r>
      <w:proofErr w:type="gramStart"/>
      <w:r>
        <w:rPr>
          <w:rFonts w:ascii="Arial" w:eastAsia="Arial" w:hAnsi="Arial" w:cs="Arial"/>
        </w:rPr>
        <w:t>dotações</w:t>
      </w:r>
      <w:proofErr w:type="gramEnd"/>
      <w:r>
        <w:rPr>
          <w:rFonts w:ascii="Arial" w:eastAsia="Arial" w:hAnsi="Arial" w:cs="Arial"/>
        </w:rPr>
        <w:t xml:space="preserve"> do Grupo de Natureza da Despesa 1 — Pessoal e Encargos Sociais, mediante a utilização de recursos oriundos de anulação de despesas consignadas ao mesmo grupo;</w:t>
      </w:r>
    </w:p>
    <w:p w14:paraId="1D6C6A84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  <w:t xml:space="preserve">II - </w:t>
      </w:r>
      <w:proofErr w:type="gramStart"/>
      <w:r>
        <w:rPr>
          <w:rFonts w:ascii="Arial" w:eastAsia="Arial" w:hAnsi="Arial" w:cs="Arial"/>
        </w:rPr>
        <w:t>dotações</w:t>
      </w:r>
      <w:proofErr w:type="gramEnd"/>
      <w:r>
        <w:rPr>
          <w:rFonts w:ascii="Arial" w:eastAsia="Arial" w:hAnsi="Arial" w:cs="Arial"/>
        </w:rPr>
        <w:t xml:space="preserve"> de despesas classificáveis nos elementos 21 – Juros Sobre a Dívida por Contratos, 22 – Outros Encargos Sobre a Dívida por Contrato, 71 – Principal da Dívida Contratual Resgatado e 91 – Sentenças Judiciais;</w:t>
      </w:r>
    </w:p>
    <w:p w14:paraId="633F012C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III - dotações de despesas suportadas com recursos provenientes de operações de crédito, alienação de bens móveis e imóveis e transferências voluntárias da União e do Estado.</w:t>
      </w:r>
    </w:p>
    <w:p w14:paraId="031CF02C" w14:textId="77777777" w:rsidR="008A0A38" w:rsidRDefault="008A0A38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</w:p>
    <w:p w14:paraId="08366CC7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CAPÍTULO III</w:t>
      </w:r>
    </w:p>
    <w:p w14:paraId="2AF7C8E4" w14:textId="77777777" w:rsidR="008A0A38" w:rsidRDefault="00F20F64">
      <w:pPr>
        <w:spacing w:before="0" w:after="0"/>
        <w:ind w:left="-426" w:right="-284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DISPOSIÇÕES GERAIS E FINAIS</w:t>
      </w:r>
    </w:p>
    <w:p w14:paraId="7EE29EF1" w14:textId="77777777" w:rsidR="008A0A38" w:rsidRDefault="008A0A38">
      <w:pPr>
        <w:spacing w:before="0" w:after="0"/>
        <w:ind w:left="-426" w:right="-284" w:firstLine="0"/>
        <w:jc w:val="left"/>
        <w:rPr>
          <w:rFonts w:ascii="Arial" w:eastAsia="Arial" w:hAnsi="Arial" w:cs="Arial"/>
          <w:b/>
          <w:bCs/>
        </w:rPr>
      </w:pPr>
    </w:p>
    <w:p w14:paraId="56F8897C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>Artigo 9º A utilização das dotações com origem de recursos provenientes de transferências voluntárias, operações de crédito e alienação de bens fica limitada aos efetivos recursos assegurados, nos termos do artigo 14 da Lei de Diretrizes Orçamentárias para 2026.</w:t>
      </w:r>
    </w:p>
    <w:p w14:paraId="17BF3AEF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Artigo 10 Obedecidas as disposições da Lei de Diretrizes Orçamentárias, as transferências financeiras destinadas à Câmara Municipal serão disponibilizadas até o dia 20 de cada mês.</w:t>
      </w:r>
    </w:p>
    <w:p w14:paraId="1E4490FC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Artigo 11 A Prefeita Municipal, nos termos do que dispuser a Lei de Diretrizes Orçamentárias, poderá adotar mecanismos para utilização das dotações, de forma a compatibilizar as despesas à efetiva realização das receitas.</w:t>
      </w:r>
    </w:p>
    <w:p w14:paraId="477AC2D4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Artigo 12 Ficam atualizados, com base nos valores desta Lei, o montante previsto para as receitas, despesas, resultado primário e resultado nominal previstos no demonstrativo referidos no inciso do artigo 1º, Parágrafo Único, I, “a” da Lei Municipal Nº    1.293/2025, que dispõe sobre as Diretrizes Orçamentárias para o exercício financeiro de 2026 em conformidade com o disposto no artigo 2º, §§ 1º e 2º da referida Lei. </w:t>
      </w:r>
    </w:p>
    <w:p w14:paraId="4B910A18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Parágrafo único. Para efeito de avaliação do cumprimento das metas fiscais na audiência pública prevista no Artigo 9</w:t>
      </w:r>
      <w:r>
        <w:rPr>
          <w:rFonts w:ascii="Arial" w:eastAsia="Arial" w:hAnsi="Arial" w:cs="Arial"/>
          <w:u w:val="single"/>
          <w:vertAlign w:val="superscript"/>
        </w:rPr>
        <w:t>o</w:t>
      </w:r>
      <w:r>
        <w:rPr>
          <w:rFonts w:ascii="Arial" w:eastAsia="Arial" w:hAnsi="Arial" w:cs="Arial"/>
        </w:rPr>
        <w:t>, § 4</w:t>
      </w:r>
      <w:r>
        <w:rPr>
          <w:rFonts w:ascii="Arial" w:eastAsia="Arial" w:hAnsi="Arial" w:cs="Arial"/>
          <w:u w:val="single"/>
          <w:vertAlign w:val="superscript"/>
        </w:rPr>
        <w:t>o</w:t>
      </w:r>
      <w:r>
        <w:rPr>
          <w:rFonts w:ascii="Arial" w:eastAsia="Arial" w:hAnsi="Arial" w:cs="Arial"/>
        </w:rPr>
        <w:t>, da LC nº 101/2000, as receitas e despesas realizadas, bem como o resultado primário e nominal, apurados pela metodologia acima da linha, serão comparados com as metas ajustadas nos termos do caput deste artigo.</w:t>
      </w:r>
    </w:p>
    <w:p w14:paraId="163D14B6" w14:textId="77777777" w:rsidR="008A0A38" w:rsidRDefault="00F20F64">
      <w:pPr>
        <w:spacing w:before="0" w:after="0"/>
        <w:ind w:left="-426"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Artigo 13 O poder executivo poderá efetuar alterações nos códigos e descrições das funções, subfunções, naturezas de receitas e despesas orçamentárias e fontes de recursos, visando adequá-los às alterações que venham a ser definidas pela Secretaria do Tesouro Nacional (STN) ou pelo Tribunal de Contas do Estado (TCE-RS). </w:t>
      </w:r>
    </w:p>
    <w:p w14:paraId="4050435D" w14:textId="77777777" w:rsidR="008A0A38" w:rsidRDefault="00F20F64">
      <w:pPr>
        <w:spacing w:before="0" w:after="0"/>
        <w:ind w:right="-28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Artigo 14 Esta Lei entra em vigor na data de sua publicação.</w:t>
      </w:r>
    </w:p>
    <w:p w14:paraId="623517EE" w14:textId="77777777" w:rsidR="008A0A38" w:rsidRDefault="008A0A38">
      <w:pPr>
        <w:spacing w:before="0" w:after="0"/>
        <w:ind w:left="-426" w:right="-284" w:firstLine="0"/>
        <w:rPr>
          <w:rFonts w:ascii="Arial" w:eastAsia="Arial" w:hAnsi="Arial" w:cs="Arial"/>
        </w:rPr>
      </w:pPr>
    </w:p>
    <w:p w14:paraId="29E3FACD" w14:textId="77777777" w:rsidR="008A0A38" w:rsidRDefault="00F20F64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3544"/>
          <w:tab w:val="left" w:pos="0"/>
        </w:tabs>
        <w:spacing w:before="0" w:after="0"/>
        <w:ind w:left="-426" w:right="-284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Gabinete 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 Prefeit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 Municipal de Boa Vista do Sul, </w:t>
      </w:r>
      <w:proofErr w:type="gramStart"/>
      <w:r>
        <w:rPr>
          <w:rFonts w:ascii="Arial" w:eastAsia="Arial" w:hAnsi="Arial" w:cs="Arial"/>
          <w:color w:val="000000"/>
        </w:rPr>
        <w:t xml:space="preserve">aos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color w:val="000000"/>
        </w:rPr>
        <w:t>torze</w:t>
      </w:r>
      <w:proofErr w:type="gramEnd"/>
      <w:r>
        <w:rPr>
          <w:rFonts w:ascii="Arial" w:eastAsia="Arial" w:hAnsi="Arial" w:cs="Arial"/>
          <w:color w:val="000000"/>
        </w:rPr>
        <w:t xml:space="preserve"> dias do mês de novembro do ano de 2025.</w:t>
      </w:r>
    </w:p>
    <w:p w14:paraId="2A194F2F" w14:textId="77777777" w:rsidR="008A0A38" w:rsidRDefault="008A0A38">
      <w:pPr>
        <w:tabs>
          <w:tab w:val="left" w:pos="1276"/>
          <w:tab w:val="left" w:pos="3402"/>
          <w:tab w:val="left" w:pos="4536"/>
        </w:tabs>
        <w:spacing w:before="0" w:after="0"/>
        <w:ind w:left="-426" w:right="-284"/>
        <w:jc w:val="right"/>
        <w:rPr>
          <w:rFonts w:ascii="Arial" w:eastAsia="Arial" w:hAnsi="Arial" w:cs="Arial"/>
        </w:rPr>
      </w:pPr>
    </w:p>
    <w:p w14:paraId="27FF8735" w14:textId="77777777" w:rsidR="008A0A38" w:rsidRDefault="00F20F64">
      <w:pPr>
        <w:tabs>
          <w:tab w:val="left" w:pos="1276"/>
          <w:tab w:val="left" w:pos="3402"/>
          <w:tab w:val="left" w:pos="4536"/>
        </w:tabs>
        <w:spacing w:before="0" w:after="0"/>
        <w:ind w:left="-426" w:right="-28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PATRÍCIA LÚCIA BAGATINI</w:t>
      </w:r>
    </w:p>
    <w:p w14:paraId="10F2BA86" w14:textId="77777777" w:rsidR="008A0A38" w:rsidRDefault="00F20F64">
      <w:pPr>
        <w:tabs>
          <w:tab w:val="left" w:pos="1276"/>
          <w:tab w:val="left" w:pos="3402"/>
          <w:tab w:val="left" w:pos="4536"/>
        </w:tabs>
        <w:spacing w:before="0" w:after="0"/>
        <w:ind w:left="-426" w:right="-28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Prefeita Municipal</w:t>
      </w:r>
      <w:r>
        <w:br w:type="page"/>
      </w:r>
    </w:p>
    <w:p w14:paraId="4AEA57FB" w14:textId="77777777" w:rsidR="008A0A38" w:rsidRDefault="00F20F64">
      <w:pPr>
        <w:keepNext/>
        <w:tabs>
          <w:tab w:val="left" w:pos="709"/>
        </w:tabs>
        <w:spacing w:after="0" w:line="276" w:lineRule="auto"/>
        <w:ind w:left="-426" w:right="-427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JUSTIFICATIVA DO PROJETO DE LEI N.º 054/2025</w:t>
      </w:r>
    </w:p>
    <w:p w14:paraId="1B3E25F5" w14:textId="77777777" w:rsidR="008A0A38" w:rsidRDefault="008A0A38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</w:p>
    <w:p w14:paraId="3A42DF74" w14:textId="77777777" w:rsidR="008A0A38" w:rsidRDefault="00704CEC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Excelentíssimo</w:t>
      </w:r>
      <w:r w:rsidR="00F20F64">
        <w:rPr>
          <w:rFonts w:ascii="Arial" w:eastAsia="Arial" w:hAnsi="Arial" w:cs="Arial"/>
        </w:rPr>
        <w:t xml:space="preserve"> Senhor Presidente,</w:t>
      </w:r>
    </w:p>
    <w:p w14:paraId="32832881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Nobres Vereadores,</w:t>
      </w:r>
    </w:p>
    <w:p w14:paraId="6CB59BA7" w14:textId="77777777" w:rsidR="008A0A38" w:rsidRDefault="008A0A38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i/>
          <w:iCs/>
        </w:rPr>
      </w:pPr>
    </w:p>
    <w:p w14:paraId="0E2137C1" w14:textId="77777777" w:rsidR="008A0A38" w:rsidRDefault="00F20F64">
      <w:pPr>
        <w:tabs>
          <w:tab w:val="left" w:pos="0"/>
          <w:tab w:val="left" w:pos="709"/>
          <w:tab w:val="left" w:pos="1276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Encaminhamos à apreciação de Vossas Excelências o Projeto de Lei anexo, que dispõe sobre a estimativa de Receita e a fixação da Despesa do Município para o próximo exercício financeiro, em cumprimento ao disposto na Constituição da República Federativa do Brasil e da Lei Orgânica Municipal.</w:t>
      </w:r>
    </w:p>
    <w:p w14:paraId="2B6491C0" w14:textId="77777777" w:rsidR="008A0A38" w:rsidRDefault="00F20F64">
      <w:pPr>
        <w:tabs>
          <w:tab w:val="left" w:pos="0"/>
          <w:tab w:val="left" w:pos="709"/>
          <w:tab w:val="left" w:pos="1276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O presente Projeto de Lei compreende os Orçamentos Fiscal e da Seguridade Social, e foi elaborado de acordo com a Lei Federal nº 4.320/64, com a Lei Complementar nº 101/00 e com a Lei Municipal nº 1.293/2025 – Lei de Diretrizes Orçamentárias para o exercício de 2026, incluindo a consonância com os seus anexos de Metas Fiscais e de Metas e Prioridades para o próximo exercício, observadas as diretrizes e os objetivos do governo constantes na Lei nº. 1.282 de 13 de agosto de 2025, que dispõe sobre o Plano Plurianual do Município.</w:t>
      </w:r>
    </w:p>
    <w:p w14:paraId="4C3833CA" w14:textId="77777777" w:rsidR="008A0A38" w:rsidRDefault="008A0A38">
      <w:pPr>
        <w:tabs>
          <w:tab w:val="left" w:pos="0"/>
          <w:tab w:val="left" w:pos="709"/>
          <w:tab w:val="left" w:pos="1276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</w:p>
    <w:p w14:paraId="23279956" w14:textId="77777777" w:rsidR="008A0A38" w:rsidRDefault="00F20F64">
      <w:pPr>
        <w:tabs>
          <w:tab w:val="left" w:pos="709"/>
          <w:tab w:val="left" w:pos="1985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  <w:t>I - Relato sucinto da situação econômica e financeira do Município e projeções para o próximo exercício, com destaque, se for o caso, para o comprometimento da receita corrente líquida com o pagamento da dívida:</w:t>
      </w:r>
    </w:p>
    <w:p w14:paraId="413240A0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Para o exercício de 2025, havia a previsão orçamentária </w:t>
      </w:r>
      <w:proofErr w:type="gramStart"/>
      <w:r>
        <w:rPr>
          <w:rFonts w:ascii="Arial" w:eastAsia="Arial" w:hAnsi="Arial" w:cs="Arial"/>
        </w:rPr>
        <w:t>de R$ 40.480.000,00</w:t>
      </w:r>
      <w:proofErr w:type="gramEnd"/>
      <w:r>
        <w:rPr>
          <w:rFonts w:ascii="Arial" w:eastAsia="Arial" w:hAnsi="Arial" w:cs="Arial"/>
        </w:rPr>
        <w:t xml:space="preserve"> entretanto com o estudo de reestimativa com base na arrecadação até 30 de setembro de 2025 se projeta a arrecadação em torno de R$ 43.977.340,03.</w:t>
      </w:r>
    </w:p>
    <w:p w14:paraId="3FE5FF6F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Ao se analisar de forma isolada, o Poder Executivo tem uma previsão de excesso de arrecadação em torno de R$ 2.886.607,12. Esse resultado decorre da estimativa de excesso de arrecadação em torno de R$ R$ 2.214.503,12 para as receitas correntes e de R$ 672.104,00 para as receitas de capital. Esse resultado é favorecido principalmente pelo desempenho da arrecadação de todos os grupos de receitas que compõem as receitas correntes, principalmente pelas transferências de impostos, em especial FPM, IPVA e IPI/Exp.</w:t>
      </w:r>
      <w:r>
        <w:rPr>
          <w:rFonts w:ascii="Arial" w:eastAsia="Arial" w:hAnsi="Arial" w:cs="Arial"/>
        </w:rPr>
        <w:tab/>
      </w:r>
    </w:p>
    <w:p w14:paraId="75851FD6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 RPPS possui uma expectativa de excesso de arrecadação em relação ao valor previsto em torno de R$ 610.732,92, ocasionado principalmente pela estimativa de excesso de arrecadação em torno de R$ 805.944,17 dos rendimentos financeiros. Já para as receitas decorrentes das contribuições dos servidores e patronais para o RPPS para 2025, se projeta uma frustração estimada em R</w:t>
      </w:r>
      <w:proofErr w:type="gramStart"/>
      <w:r>
        <w:rPr>
          <w:rFonts w:ascii="Arial" w:eastAsia="Arial" w:hAnsi="Arial" w:cs="Arial"/>
        </w:rPr>
        <w:t>$  245.110</w:t>
      </w:r>
      <w:proofErr w:type="gramEnd"/>
      <w:r>
        <w:rPr>
          <w:rFonts w:ascii="Arial" w:eastAsia="Arial" w:hAnsi="Arial" w:cs="Arial"/>
        </w:rPr>
        <w:t xml:space="preserve">,24 sobre o valor previsto. </w:t>
      </w:r>
    </w:p>
    <w:p w14:paraId="0F233EC5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>Quanto à despesa, de acordo com o Decreto nº 001/2025 (cronograma de desembolso financeiro) foi estimado o valor de R$ 31.263.281,47 como montante a ser desembolsado até o final do 5º bimestre de 2025, entretanto este valor se concretizou em R$ 31.367.080,50 (despesa liquidada). Esta diferença a maior foi suportada pelo superávit financeiro do ano anterior e pelo excesso de arrecadação.</w:t>
      </w:r>
    </w:p>
    <w:p w14:paraId="562BBFF1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Não existe saldo inscrito na dívida fundada ao final do 5º bimestre de 2025.</w:t>
      </w:r>
    </w:p>
    <w:p w14:paraId="676F591D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 Orçamento total para o exercício de 2026 é de R$ 43.335.000,00 (quarenta e três milhões e trezentos e trinta e cinco mil reais), que comparativamente com a previsão de R$ 40.480.000,00 para o exercício de 2025, teve um acréscimo de 7,05%.</w:t>
      </w:r>
    </w:p>
    <w:p w14:paraId="35BAA233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Na receita, o recurso mais significativo é proveniente do FPM com uma previsão de R$ 19.755.510,00 (considerando as transferências de 1% que ocorrem </w:t>
      </w:r>
      <w:proofErr w:type="gramStart"/>
      <w:r>
        <w:rPr>
          <w:rFonts w:ascii="Arial" w:eastAsia="Arial" w:hAnsi="Arial" w:cs="Arial"/>
        </w:rPr>
        <w:t>nos mês</w:t>
      </w:r>
      <w:proofErr w:type="gramEnd"/>
      <w:r>
        <w:rPr>
          <w:rFonts w:ascii="Arial" w:eastAsia="Arial" w:hAnsi="Arial" w:cs="Arial"/>
        </w:rPr>
        <w:t xml:space="preserve"> de julho, setembro e dezembro), representado 45,95% do total do orçamento, seguido pelo ICMS no valor de R$ 11.475.850,00 representando 26,48%. </w:t>
      </w:r>
      <w:proofErr w:type="gramStart"/>
      <w:r>
        <w:rPr>
          <w:rFonts w:ascii="Arial" w:eastAsia="Arial" w:hAnsi="Arial" w:cs="Arial"/>
        </w:rPr>
        <w:t>A previsão das receitas do RPPS totalizam</w:t>
      </w:r>
      <w:proofErr w:type="gramEnd"/>
      <w:r>
        <w:rPr>
          <w:rFonts w:ascii="Arial" w:eastAsia="Arial" w:hAnsi="Arial" w:cs="Arial"/>
        </w:rPr>
        <w:t xml:space="preserve"> R$ 7.363.880,00 representando, 16,99% do orçamento total. As receitas de impostos, taxas e contribuições de melhorias com projeção de R$ 2.528.040,00 representam 5,83%, as receitas de serviços com previsão de R$ 1.274.310,00 representam 2,94% e outras receitas correntes do Poder Executivo com previsão de R$ 141.890,00 representam 0,33% sobre o orçamento total. </w:t>
      </w:r>
    </w:p>
    <w:p w14:paraId="53ED513F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Os </w:t>
      </w:r>
      <w:proofErr w:type="gramStart"/>
      <w:r>
        <w:rPr>
          <w:rFonts w:ascii="Arial" w:eastAsia="Arial" w:hAnsi="Arial" w:cs="Arial"/>
        </w:rPr>
        <w:t>valores referente</w:t>
      </w:r>
      <w:proofErr w:type="gramEnd"/>
      <w:r>
        <w:rPr>
          <w:rFonts w:ascii="Arial" w:eastAsia="Arial" w:hAnsi="Arial" w:cs="Arial"/>
        </w:rPr>
        <w:t xml:space="preserve"> às deduções de receita referem-se ao desconto sobre o pagamento antecipado do IPTU e da Taxa de Limpeza Pública, à devolução dos valores pagos a maior dos serviços com máquinas e à dedução de 20% da Receita de </w:t>
      </w:r>
      <w:proofErr w:type="gramStart"/>
      <w:r>
        <w:rPr>
          <w:rFonts w:ascii="Arial" w:eastAsia="Arial" w:hAnsi="Arial" w:cs="Arial"/>
        </w:rPr>
        <w:t>FPM,  ITR</w:t>
      </w:r>
      <w:proofErr w:type="gramEnd"/>
      <w:r>
        <w:rPr>
          <w:rFonts w:ascii="Arial" w:eastAsia="Arial" w:hAnsi="Arial" w:cs="Arial"/>
        </w:rPr>
        <w:t xml:space="preserve">, ICMS, IPI/EXP e IPVA para a formação do Fundeb. Estes valores estão evidenciados </w:t>
      </w:r>
      <w:proofErr w:type="gramStart"/>
      <w:r>
        <w:rPr>
          <w:rFonts w:ascii="Arial" w:eastAsia="Arial" w:hAnsi="Arial" w:cs="Arial"/>
        </w:rPr>
        <w:t>nos anexos orçamentário</w:t>
      </w:r>
      <w:proofErr w:type="gramEnd"/>
      <w:r>
        <w:rPr>
          <w:rFonts w:ascii="Arial" w:eastAsia="Arial" w:hAnsi="Arial" w:cs="Arial"/>
        </w:rPr>
        <w:t xml:space="preserve"> que acompanham esse Projeto de Lei.</w:t>
      </w:r>
    </w:p>
    <w:p w14:paraId="5252CC1B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  <w:t>II - Resumo da política econômica e social do Governo</w:t>
      </w:r>
      <w:r>
        <w:rPr>
          <w:rFonts w:ascii="Arial" w:eastAsia="Arial" w:hAnsi="Arial" w:cs="Arial"/>
          <w:i/>
          <w:iCs/>
        </w:rPr>
        <w:t>:</w:t>
      </w:r>
    </w:p>
    <w:p w14:paraId="4D6D0911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Na respectiva proposta estão contempladas todas as metas definidas na Lei de Diretrizes Orçamentárias. Em virtude de que todos os programas estão acompanhados de suas ações com as respectivas metas físicas e financeiras no anexo de metas que acompanha a LDO e que estes foram contemplados neste Projeto de Lei Orçamentária a política econômica e social do Governo não será novamente descrita aqui.</w:t>
      </w:r>
    </w:p>
    <w:p w14:paraId="6B01A22C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  <w:t xml:space="preserve">III - Memória de cálculo e justificativa da estimativa da receita e da fixação da despesa, observando-se, no que couber, ao disposto nos </w:t>
      </w:r>
      <w:proofErr w:type="spellStart"/>
      <w:r>
        <w:rPr>
          <w:rFonts w:ascii="Arial" w:eastAsia="Arial" w:hAnsi="Arial" w:cs="Arial"/>
          <w:b/>
          <w:bCs/>
          <w:i/>
          <w:iCs/>
        </w:rPr>
        <w:t>arts</w:t>
      </w:r>
      <w:proofErr w:type="spellEnd"/>
      <w:r>
        <w:rPr>
          <w:rFonts w:ascii="Arial" w:eastAsia="Arial" w:hAnsi="Arial" w:cs="Arial"/>
          <w:b/>
          <w:bCs/>
          <w:i/>
          <w:iCs/>
        </w:rPr>
        <w:t>. 22, I, 39 e 30 da Lei Federal nº 4.320/1964 e no art. 12 da Lei Complementar nº 101/2000:</w:t>
      </w:r>
    </w:p>
    <w:p w14:paraId="38B75963" w14:textId="77777777" w:rsidR="008A0A38" w:rsidRDefault="00F20F64">
      <w:pPr>
        <w:tabs>
          <w:tab w:val="left" w:pos="709"/>
          <w:tab w:val="left" w:pos="1985"/>
        </w:tabs>
        <w:spacing w:after="0" w:line="276" w:lineRule="auto"/>
        <w:ind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 estimativa da receita e fixação da despesa teve como premissas básicas os fatores descritos na tabela a seguir:</w:t>
      </w:r>
    </w:p>
    <w:p w14:paraId="6CECF7EA" w14:textId="77777777" w:rsidR="008A0A38" w:rsidRDefault="00F20F64">
      <w:pPr>
        <w:tabs>
          <w:tab w:val="left" w:pos="709"/>
          <w:tab w:val="left" w:pos="1985"/>
        </w:tabs>
        <w:spacing w:after="0" w:line="276" w:lineRule="auto"/>
        <w:ind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Indicadores econômicos:</w:t>
      </w:r>
    </w:p>
    <w:tbl>
      <w:tblPr>
        <w:tblStyle w:val="a1"/>
        <w:tblW w:w="9240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380"/>
        <w:gridCol w:w="3443"/>
        <w:gridCol w:w="900"/>
        <w:gridCol w:w="900"/>
        <w:gridCol w:w="900"/>
        <w:gridCol w:w="900"/>
        <w:gridCol w:w="900"/>
        <w:gridCol w:w="900"/>
        <w:gridCol w:w="17"/>
      </w:tblGrid>
      <w:tr w:rsidR="008A0A38" w14:paraId="2085B510" w14:textId="77777777">
        <w:trPr>
          <w:gridAfter w:val="1"/>
          <w:wAfter w:w="17" w:type="dxa"/>
          <w:trHeight w:val="300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9EFBAC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DISCRIMINAÇÃO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CDC4392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919207E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4003D32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8385C37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5367488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5217B57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2028</w:t>
            </w:r>
          </w:p>
        </w:tc>
      </w:tr>
      <w:tr w:rsidR="008A0A38" w14:paraId="781EB2AE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FF56A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F6ABB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INFLAÇÃO MÉDIA ANUAL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I P C A)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274F6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4,62%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1DB88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4,38%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3CB68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4,80%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4698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1819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3,70%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95490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3,50%</w:t>
            </w:r>
          </w:p>
        </w:tc>
      </w:tr>
      <w:tr w:rsidR="008A0A38" w14:paraId="7991C08F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BF1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E39A6A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VARIAÇÃO DO PIB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A7809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3,20%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C0D0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3,40%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C6A8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2,16%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E0BF7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1D6DE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1,90%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0E099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2,00%</w:t>
            </w:r>
          </w:p>
        </w:tc>
      </w:tr>
      <w:tr w:rsidR="008A0A38" w14:paraId="294E9CBE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539B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30BFF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CRESCIMENTO VEGETATIVO DA FOLHA SALARIAL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80278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79437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1E8C9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036A1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914B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6DC5E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1,50%</w:t>
            </w:r>
          </w:p>
        </w:tc>
      </w:tr>
      <w:tr w:rsidR="008A0A38" w14:paraId="3F5E8D3F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FECBB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89954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ESFORÇO NA ARRECADAÇÃO TRIBUTÁRIA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FB7DA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AD0CE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594B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B65E2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4626A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45A88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</w:tr>
      <w:tr w:rsidR="008A0A38" w14:paraId="0818BEE9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73B1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2C23E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PERCENTUAL DE REVISÃO GERAL DESPESA C/ PESSOAL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6AC75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6D12D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78B21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4CE6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7F528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8D203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6,00%</w:t>
            </w:r>
          </w:p>
        </w:tc>
      </w:tr>
      <w:tr w:rsidR="008A0A38" w14:paraId="7BDF8BAD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0B2A8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B2B1D7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TAXA DE JUROS (Selic Real - Média do Ano)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5D8B0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13,14%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AA6F9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11,03%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88DA7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1C77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12,25%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D2D7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10,50%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85176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10,00%</w:t>
            </w:r>
          </w:p>
        </w:tc>
      </w:tr>
      <w:tr w:rsidR="008A0A38" w14:paraId="78F680B4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E7411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B792B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ÍNDICE GERAL DE PREÇOS - IGP-M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3FE2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-3,18%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B8D95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6,53%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76653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152EC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4,20%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AFFBE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0B46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4,00%</w:t>
            </w:r>
          </w:p>
        </w:tc>
      </w:tr>
      <w:tr w:rsidR="008A0A38" w14:paraId="7B3EE340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61B1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14972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META ATUARIAL DO RPPS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74A1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10,90%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E26AE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9,49%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2B5D1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9,94%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9EC79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8,99%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5AF6D1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8,78%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BB948F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8,57%</w:t>
            </w:r>
          </w:p>
        </w:tc>
      </w:tr>
      <w:tr w:rsidR="008A0A38" w14:paraId="21A59609" w14:textId="77777777">
        <w:trPr>
          <w:gridAfter w:val="1"/>
          <w:wAfter w:w="17" w:type="dxa"/>
          <w:trHeight w:val="300"/>
        </w:trPr>
        <w:tc>
          <w:tcPr>
            <w:tcW w:w="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0FC05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F129B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POPULAÇÃO DO MUNICÍPIO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9A8B8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A7BE0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DF22D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4812C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054E7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A0BDFE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2815</w:t>
            </w:r>
          </w:p>
        </w:tc>
      </w:tr>
      <w:tr w:rsidR="008A0A38" w14:paraId="302723ED" w14:textId="77777777">
        <w:trPr>
          <w:gridAfter w:val="1"/>
          <w:wAfter w:w="17" w:type="dxa"/>
          <w:trHeight w:val="300"/>
        </w:trPr>
        <w:tc>
          <w:tcPr>
            <w:tcW w:w="38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879AC29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Fonte: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9962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EFB12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2E3C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A45A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5FBD8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5DB8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A0A38" w14:paraId="78A0DE30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A0AE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Itens 1,2,6,7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Sistema Expectativas de Mercado do Banco Central do Brasil verificado em 04/10/2025.</w:t>
            </w:r>
          </w:p>
        </w:tc>
      </w:tr>
      <w:tr w:rsidR="008A0A38" w14:paraId="09692932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E78BFF6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critério próprio para fins de cobertura do crescimento vegetativo (avanços, licenças-prêmios, gratificações e outros. </w:t>
            </w:r>
          </w:p>
        </w:tc>
      </w:tr>
      <w:tr w:rsidR="008A0A38" w14:paraId="0F40FB9F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25E1B1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critério próprio.</w:t>
            </w:r>
          </w:p>
        </w:tc>
      </w:tr>
      <w:tr w:rsidR="008A0A38" w14:paraId="1F7648C5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B01CF3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critério próprio.</w:t>
            </w:r>
          </w:p>
        </w:tc>
      </w:tr>
      <w:tr w:rsidR="008A0A38" w14:paraId="7E20C64F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7D2695D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8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considerado Inflação (IPCA) mais 4,9%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a.a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conforme cálculo atuarial.</w:t>
            </w:r>
          </w:p>
        </w:tc>
      </w:tr>
      <w:tr w:rsidR="008A0A38" w14:paraId="17417F53" w14:textId="77777777">
        <w:trPr>
          <w:trHeight w:val="300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64C76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9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IBGE (https://cidades.ibge.gov.br/)</w:t>
            </w:r>
          </w:p>
        </w:tc>
      </w:tr>
    </w:tbl>
    <w:p w14:paraId="46BE57A3" w14:textId="77777777" w:rsidR="008A0A38" w:rsidRDefault="00F20F64">
      <w:pPr>
        <w:tabs>
          <w:tab w:val="left" w:pos="709"/>
        </w:tabs>
        <w:spacing w:after="0" w:line="276" w:lineRule="auto"/>
        <w:ind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Metodologia de cálculo da estimativa da receita:</w:t>
      </w:r>
    </w:p>
    <w:p w14:paraId="0F34E2CE" w14:textId="77777777" w:rsidR="008A0A38" w:rsidRDefault="008A0A38">
      <w:pPr>
        <w:tabs>
          <w:tab w:val="left" w:pos="709"/>
        </w:tabs>
        <w:spacing w:after="0" w:line="276" w:lineRule="auto"/>
        <w:ind w:right="-427"/>
        <w:rPr>
          <w:rFonts w:ascii="Arial" w:eastAsia="Arial" w:hAnsi="Arial" w:cs="Arial"/>
        </w:rPr>
      </w:pPr>
    </w:p>
    <w:tbl>
      <w:tblPr>
        <w:tblStyle w:val="a2"/>
        <w:tblW w:w="9142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2197"/>
        <w:gridCol w:w="5196"/>
        <w:gridCol w:w="1749"/>
      </w:tblGrid>
      <w:tr w:rsidR="008A0A38" w14:paraId="0D55B7FB" w14:textId="77777777" w:rsidTr="005106A5">
        <w:trPr>
          <w:trHeight w:val="255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AEDC376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RECEITA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E7082C7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METODOLOGIA DE CÁLCULO</w:t>
            </w:r>
          </w:p>
        </w:tc>
      </w:tr>
      <w:tr w:rsidR="008A0A38" w14:paraId="0B0A4D5D" w14:textId="77777777" w:rsidTr="005106A5">
        <w:trPr>
          <w:trHeight w:val="84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C7B1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 TRIBUTÁRIAS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1C8AEC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 receita tributária foi considerada a variação da arrecadação em relação aos exercícios anteriores e a estimativa da variação dos índices 1,2,3,4 e 5 (tabela de parâmetros para projeções).</w:t>
            </w:r>
          </w:p>
        </w:tc>
      </w:tr>
      <w:tr w:rsidR="008A0A38" w14:paraId="41EDC26C" w14:textId="77777777" w:rsidTr="005106A5">
        <w:trPr>
          <w:trHeight w:val="117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6A328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 CONTRIBUIÇÕES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EDFC1E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Neste grupo está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incluida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 receita de contribuição dos servidores ativos e inativos para manutenção do Fundo de Aposentadoria e Pensão dos Servidores correspondendo à alíquota de 14,00% sobre os vencimentos dos servidores efetivos. Na base de cálculo (salários) foi considerada a estimativa de a revisão geral mais o crescimento vegetativo.</w:t>
            </w:r>
          </w:p>
        </w:tc>
      </w:tr>
      <w:tr w:rsidR="008A0A38" w14:paraId="77C5DE6C" w14:textId="77777777" w:rsidTr="005106A5">
        <w:trPr>
          <w:trHeight w:val="192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8739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 PATRIMONIAL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863C58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 previsão da Receita Patrimonial a maioria do valor previsto se refere às remunerações dos depósitos bancários (juros sobre aplicações financeiras). O maior volume desta previsão se refere a receita com juros das aplicações do RPPS onde foi estimada uma arrecadação de R$ 3.610.250,00 para o exercício de 2026. Foi considerado como parâmetro as disponibilidades apuradas no cronograma financeiro estimado do RPPS para o início do exercício de 2026 remuneradas pela alíquota da meta atuarial prevista, ou seja, IPCA + 4,90% a.a. (8,99%).</w:t>
            </w:r>
          </w:p>
        </w:tc>
      </w:tr>
      <w:tr w:rsidR="008A0A38" w14:paraId="24FC07E9" w14:textId="77777777" w:rsidTr="005106A5">
        <w:trPr>
          <w:trHeight w:val="60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2C8FF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 SERVIÇOS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15D0E8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 receitas de serviços foi considerada a estimativa de variação do IPCA/IGPM e do e PIB sobre o valor arrecado nos exercícios anteriores.</w:t>
            </w:r>
          </w:p>
        </w:tc>
      </w:tr>
      <w:tr w:rsidR="008A0A38" w14:paraId="78A792DE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82EE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 TRANSFERÊNCIAS CORENTES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BBB1F9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 transferências correntes por terem critérios de distribuição distintos entre si serão analisadas particularmente conforme quadro a seguir:</w:t>
            </w:r>
          </w:p>
        </w:tc>
      </w:tr>
      <w:tr w:rsidR="008A0A38" w14:paraId="154EB352" w14:textId="77777777" w:rsidTr="005106A5">
        <w:trPr>
          <w:trHeight w:val="255"/>
        </w:trPr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A40B0" w14:textId="77777777" w:rsidR="008A0A38" w:rsidRDefault="008A0A38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08B76" w14:textId="77777777" w:rsidR="008A0A38" w:rsidRDefault="008A0A38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2FA72" w14:textId="77777777" w:rsidR="008A0A38" w:rsidRDefault="008A0A38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0A38" w14:paraId="4524C122" w14:textId="77777777" w:rsidTr="005106A5">
        <w:trPr>
          <w:trHeight w:val="255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7420458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RECEITA</w:t>
            </w:r>
          </w:p>
        </w:tc>
        <w:tc>
          <w:tcPr>
            <w:tcW w:w="5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14:paraId="0AAD564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CRITÉRIO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6D28428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 PREVISTO</w:t>
            </w:r>
          </w:p>
        </w:tc>
      </w:tr>
      <w:tr w:rsidR="008A0A38" w14:paraId="22BB2FE9" w14:textId="77777777" w:rsidTr="005106A5">
        <w:trPr>
          <w:trHeight w:val="255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1FD95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FPM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33A1ADE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Valores previsto conforme estudos técnicos da FAMURS. 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5730A" w14:textId="03D994D6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17.703.410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32BC13C0" w14:textId="77777777" w:rsidTr="005106A5">
        <w:trPr>
          <w:trHeight w:val="255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CFFF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ITR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1D0EA7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Arrecadação atual corrigida pelo IGPM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7EC2C" w14:textId="3278465F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7.050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2BA3B86C" w14:textId="77777777" w:rsidTr="005106A5">
        <w:trPr>
          <w:trHeight w:val="255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E7654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CP.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Fdo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Especial do Petróleo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11E5C98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estimado para o exercício de 2025 mais correção pelo IGPM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F23D" w14:textId="49D2BD60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340.680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7FE52DB4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D74A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Transferências do Fundo Nacional de Saúde - FNS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CDE1A72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Valores reestimados para o ano de 2025 corrigidos pelo ICPA.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606D" w14:textId="428F9AB9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654.020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2BECADFE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591D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Salário Educação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C277CB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Foi considerado um acréscimo de 3,50% sobre o valor orçado para 2025, conforme demonstrado pelos estudos técnicos da FAMURS.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A5A72" w14:textId="51684119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179.340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7C2070B1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BB66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Transferências do Fundo Nacional Educação - FNDE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4F05731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Valores reestimados para o ano de 2025 corrigidos pelo ICPA.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D63C" w14:textId="3CF14332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85.150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0B8AB6C0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03FA6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ICMS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E674D5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Valores previsto conforme estudos técnicos da FAMURS (com aplicação do índice de retorno do ICMS de 0,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083403 )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CEBB1" w14:textId="3DB7B8AF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148.590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4FA39DC3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A83C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IPVA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5EFE062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orçado para 2025 reajustado pela alíquota de 11,30% de acordo com estudos técnicos da FAMURS.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00098" w14:textId="04FE3B3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1.184.670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6872D0B5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813D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IPI Exportação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C4CE177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Valores previsto conforme estudos técnicos da FAMURS (com aplicação do índice de retorno do ICMS de 0,083403).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24FF9" w14:textId="6AE17B3B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148.590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331737C1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D9403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Transferência do Estado para Saúde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E3EBEA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Manutenção dos valores estimados para o atual exercício atualizados pelas metas de inflação.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4C05" w14:textId="17715C4B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73.910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2F754330" w14:textId="77777777" w:rsidTr="005106A5">
        <w:trPr>
          <w:trHeight w:val="1275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2BC16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Transferência de Convênios com o Estado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B64AB7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Foi prevista a manutenção do Convênio com o Estado para o ressarcimento das despesas com transporte escolar do ensino médio e fundamental da rede estadual. A previsão dos valores teve por base a estimativa de arrecadação para o exercício de 2025 corrigido pela meta de inflação.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4D8E" w14:textId="30B9865B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243.540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51C6B59F" w14:textId="77777777" w:rsidTr="005106A5">
        <w:trPr>
          <w:trHeight w:val="51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F52FE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Transferência do Fundeb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3FA9D9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Valor apurado pelo retorno p/ aluno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cfe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relatório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Famurs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 planilha em anexo.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3BFED" w14:textId="0AC35080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2.773.160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085959EC" w14:textId="77777777" w:rsidTr="005106A5">
        <w:trPr>
          <w:trHeight w:val="255"/>
        </w:trPr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27C63" w14:textId="77777777" w:rsidR="008A0A38" w:rsidRDefault="008A0A38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AC3D2" w14:textId="77777777" w:rsidR="008A0A38" w:rsidRDefault="008A0A38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731AC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0A38" w14:paraId="53790FE4" w14:textId="77777777" w:rsidTr="005106A5">
        <w:trPr>
          <w:trHeight w:val="510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5C51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 OUTRA RECEITAS CORRENTES</w:t>
            </w:r>
          </w:p>
        </w:tc>
        <w:tc>
          <w:tcPr>
            <w:tcW w:w="5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71885D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Foi considerada a arrecadação anterior corrigida pelas metas de inflação e pela estimativa de crescimento do PIB.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8911B5" w14:textId="0C72BA5D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504.320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0B650FFD" w14:textId="77777777" w:rsidTr="005106A5">
        <w:trPr>
          <w:trHeight w:val="102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36E13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 RECEITAS DE CAPITAL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82BD5A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Não estão sendo previstas receitas de capital, uma vez que até o momento não há convênios celebrados a executar com outras esferas de governo e tampouco não estão sendo previstas contratações de operações de crédito e alienações de ativos.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A6CF22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-   </w:t>
            </w:r>
          </w:p>
        </w:tc>
      </w:tr>
      <w:tr w:rsidR="008A0A38" w14:paraId="22B04D47" w14:textId="77777777" w:rsidTr="005106A5">
        <w:trPr>
          <w:trHeight w:val="765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1F12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8. RECEITAS CORRENTES INTRAORÇAMENTÁRIAS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6BDE4A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Refere-se à contribuição patronal do Município para o Regime Próprio de Previdência Social em relação à remuneração dos servidores efetivos.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B942C" w14:textId="32C06E94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2.440.500</w:t>
            </w:r>
            <w:r w:rsidR="005106A5">
              <w:rPr>
                <w:rFonts w:ascii="Arial" w:eastAsia="Arial" w:hAnsi="Arial" w:cs="Arial"/>
                <w:sz w:val="20"/>
                <w:szCs w:val="20"/>
              </w:rPr>
              <w:t>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0A38" w14:paraId="76E2302F" w14:textId="77777777" w:rsidTr="005106A5">
        <w:trPr>
          <w:trHeight w:val="2160"/>
        </w:trPr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68D8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9. DEDUÇÕES DA RECEITA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700E52" w14:textId="77777777" w:rsidR="008A0A38" w:rsidRDefault="00F20F64">
            <w:pPr>
              <w:spacing w:before="0" w:after="0" w:line="240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Refere-se a dedução para a contribuição ao Fundeb no percentual de 20% sobre as receitas de FPM, ITR, ICMS, IPI e IPVA. O valor é registrado nessa conta uma vez que as receitas que contribuem para o Fundeb são contabilizadas pelo seu valor bruto. A fim de identificar o valor contribuição do Município para o Fundeb é necessário a contabilização destes valores em contas específicas. O resultado previsto do Fundeb para 2026 está demonstrado no quadro anexo. Integram ainda este grupo a previsão do desconto pelo valor antecipado do IPTU, taxa de limpeza pública e a devolução de tarifas com serviços pagas a maior de forma antecipada.</w:t>
            </w:r>
          </w:p>
        </w:tc>
      </w:tr>
    </w:tbl>
    <w:p w14:paraId="5E5F7774" w14:textId="77777777" w:rsidR="008A0A38" w:rsidRDefault="008A0A38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</w:p>
    <w:p w14:paraId="0F768B10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A previsão da receita cujos aspectos já foram mencionados anteriormente deixam de ser novamente abordados. </w:t>
      </w:r>
    </w:p>
    <w:p w14:paraId="51C1AA32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 despesa fixada de R$ 43.335.000,00 (quarenta e três milhões e trezentos e trinta e cinco mil reais), está distribuída conforme os anexos contábeis em anexo e seguiu os critérios já utilizados na LDO. Entretanto destaca-se que para a despesa com pessoal foi considerado uma estimativa de acréscimo de 6,00% para a revisão geral a partir do mês de março/26 para os servidores e os agentes políticos e 1,50% para o crescimento vegetativo da folha (avanços, mudança de classe e outros benefícios incorporáveis).</w:t>
      </w:r>
    </w:p>
    <w:p w14:paraId="0DAB21A6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Na unidade orçamentária 03.02 – Fundo de Previdência Social do Município está inserida rubrica orçamentária 9.9.99.99.00.00.00 – Reserva de Contingência e Reserva do RPPS no valor R$ 2.376.000,00 cuja composição está demonstrada no quadro abaixo. Este valor é oriundo da diferença entre as receitas e despesas do FPSM para 2026, e tem como função exclusiva a capitalização do RPPS para o pagamento de futuras aposentadorias e pensões dos servidores municipais vinculados ao FPSM (Fundo de Previdência Social do Município).</w:t>
      </w:r>
    </w:p>
    <w:p w14:paraId="79369CD7" w14:textId="77777777" w:rsidR="008A0A38" w:rsidRDefault="008A0A38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</w:p>
    <w:tbl>
      <w:tblPr>
        <w:tblStyle w:val="a3"/>
        <w:tblW w:w="9639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544"/>
        <w:gridCol w:w="1340"/>
        <w:gridCol w:w="29"/>
        <w:gridCol w:w="251"/>
        <w:gridCol w:w="29"/>
        <w:gridCol w:w="2887"/>
        <w:gridCol w:w="1559"/>
      </w:tblGrid>
      <w:tr w:rsidR="008A0A38" w14:paraId="608ED647" w14:textId="77777777">
        <w:trPr>
          <w:trHeight w:val="300"/>
        </w:trPr>
        <w:tc>
          <w:tcPr>
            <w:tcW w:w="4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F2BE582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RECEITAS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07A61" w14:textId="77777777" w:rsidR="008A0A38" w:rsidRDefault="008A0A38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D33A006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DESPESAS </w:t>
            </w:r>
          </w:p>
        </w:tc>
      </w:tr>
      <w:tr w:rsidR="008A0A38" w14:paraId="0DDA64A8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2BF424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Contribuição Patronal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E5F5C0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1.170.900,00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9C957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E8DD7D0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Inativos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9D0BC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4.547.700,00</w:t>
            </w:r>
          </w:p>
        </w:tc>
      </w:tr>
      <w:tr w:rsidR="008A0A38" w14:paraId="16E31FE9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E5448E4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Contribuição para amortização de déficit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7D0DB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1.269.600,00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44335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13094B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Pensionistas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0584F3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316.200,00</w:t>
            </w:r>
          </w:p>
        </w:tc>
      </w:tr>
      <w:tr w:rsidR="008A0A38" w14:paraId="08125671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4BF2F5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Contribuição Servidores Ativos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6B4552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934.730,00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3A331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086976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Pagamento Compensação Previdenciária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CC2CBD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20.160,00</w:t>
            </w:r>
          </w:p>
        </w:tc>
      </w:tr>
      <w:tr w:rsidR="008A0A38" w14:paraId="0FA0D358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8AD909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Contribuição Servidores Inativos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B4F9A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15.970,00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A24CE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C2C1F6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Despesas Administrativas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997CD04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103.820,00</w:t>
            </w:r>
          </w:p>
        </w:tc>
      </w:tr>
      <w:tr w:rsidR="008A0A38" w14:paraId="5F801822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7D895FC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Compensação Previdenciária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FEB52C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362.430,00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91D8B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6F3F0E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BD2C297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57F396C3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02AC52A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Juros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Aplic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Financeira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3DABCE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3.610.250,00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E42FC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C9F8D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Total Despesa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71D48B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4.987.880,00</w:t>
            </w:r>
          </w:p>
        </w:tc>
      </w:tr>
      <w:tr w:rsidR="008A0A38" w14:paraId="045F19F5" w14:textId="77777777">
        <w:trPr>
          <w:trHeight w:val="30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B8E82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Receita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C6D8A3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7.363.880,00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19CAA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3E91D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Superávit Financeiro (Receita-Despesa)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63090D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2.376.000,00</w:t>
            </w:r>
          </w:p>
        </w:tc>
      </w:tr>
      <w:tr w:rsidR="008A0A38" w14:paraId="1044D09C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8480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AEFAB1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42A1F" w14:textId="77777777" w:rsidR="008A0A38" w:rsidRDefault="008A0A38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CE96" w14:textId="77777777" w:rsidR="008A0A38" w:rsidRDefault="00F20F64">
            <w:pPr>
              <w:spacing w:before="0" w:after="0"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E23CD6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8A0A38" w14:paraId="49309941" w14:textId="7777777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B59B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5AD959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7.363.880,00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0DD3B" w14:textId="77777777" w:rsidR="008A0A38" w:rsidRDefault="008A0A38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41F96" w14:textId="77777777" w:rsidR="008A0A38" w:rsidRDefault="00F20F64">
            <w:pPr>
              <w:spacing w:before="0"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7CA0C5" w14:textId="77777777" w:rsidR="008A0A38" w:rsidRDefault="00F20F64">
            <w:pPr>
              <w:spacing w:before="0" w:after="0" w:line="240" w:lineRule="auto"/>
              <w:ind w:firstLine="0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7.363.880,00</w:t>
            </w:r>
          </w:p>
        </w:tc>
      </w:tr>
    </w:tbl>
    <w:p w14:paraId="68743DD5" w14:textId="77777777" w:rsidR="008A0A38" w:rsidRDefault="008A0A38">
      <w:pPr>
        <w:tabs>
          <w:tab w:val="left" w:pos="709"/>
          <w:tab w:val="left" w:pos="1985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</w:p>
    <w:p w14:paraId="4E7511CF" w14:textId="77777777" w:rsidR="008A0A38" w:rsidRDefault="00F20F64">
      <w:pPr>
        <w:tabs>
          <w:tab w:val="left" w:pos="709"/>
          <w:tab w:val="left" w:pos="1985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lastRenderedPageBreak/>
        <w:tab/>
        <w:t>IV - Demonstrativo da dívida fundada, assim como da evolução do seu estoque nos últimos três anos, a situação provável no final de 2025 e a previsão para o exercício de 2026:</w:t>
      </w:r>
    </w:p>
    <w:p w14:paraId="7C390E95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Não há atualmente saldo inscrito na dívida fundada do Município, tampouco não existe previsão orçamentária para a contratação de operações de crédito previstas no orçamento atual e para o exercício de 2026.</w:t>
      </w:r>
    </w:p>
    <w:p w14:paraId="33F168E9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  <w:t xml:space="preserve">V - Relação dos precatórios a serem cumpridos com as dotações para tal fim constantes na proposta orçamentária: </w:t>
      </w:r>
    </w:p>
    <w:p w14:paraId="4F527302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</w:rPr>
        <w:tab/>
        <w:t xml:space="preserve">Não existem precatórios a serem cumpridos no exercício corrente e não há previsão para o exercício de 2026, entretanto está prevista reserva de contingência conforme preceitua o artigo 5º da Lei Complementar 101/00 para o atendimento de passivos contingentes e outros riscos e eventos fiscais imprevistos e processos em tramitação contra o município que estão relacionados no </w:t>
      </w:r>
      <w:r>
        <w:rPr>
          <w:rFonts w:ascii="Arial" w:eastAsia="Arial" w:hAnsi="Arial" w:cs="Arial"/>
          <w:i/>
          <w:iCs/>
        </w:rPr>
        <w:t xml:space="preserve">Demonstrativo de Riscos Fiscais </w:t>
      </w:r>
      <w:r>
        <w:rPr>
          <w:rFonts w:ascii="Arial" w:eastAsia="Arial" w:hAnsi="Arial" w:cs="Arial"/>
        </w:rPr>
        <w:t>em anexo à Lei 1.187/2023 (Lei de Diretrizes Orçamentárias).</w:t>
      </w:r>
    </w:p>
    <w:p w14:paraId="2912EEB1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  <w:t xml:space="preserve">VI – </w:t>
      </w:r>
      <w:proofErr w:type="gramStart"/>
      <w:r>
        <w:rPr>
          <w:rFonts w:ascii="Arial" w:eastAsia="Arial" w:hAnsi="Arial" w:cs="Arial"/>
          <w:b/>
          <w:bCs/>
          <w:i/>
          <w:iCs/>
        </w:rPr>
        <w:t>relação</w:t>
      </w:r>
      <w:proofErr w:type="gramEnd"/>
      <w:r>
        <w:rPr>
          <w:rFonts w:ascii="Arial" w:eastAsia="Arial" w:hAnsi="Arial" w:cs="Arial"/>
          <w:b/>
          <w:bCs/>
          <w:i/>
          <w:iCs/>
        </w:rPr>
        <w:t xml:space="preserve"> das ações prioritárias aprovadas nas audiências públicas realizadas pelo Executivo na forma estabelecida pelo art. 12 desta Lei, com a identificação dos respectivos projetos, atividades ou operações especiais, com destaque para os valores correspondentes às priorizações;</w:t>
      </w:r>
    </w:p>
    <w:p w14:paraId="565BC368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i/>
          <w:i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Os valores estão discriminados nos quadros orçamentários, previstos no artigo 7º da Lei 1.293/2025 (Lei de Diretrizes Orçamentárias), em especial no </w:t>
      </w:r>
      <w:r>
        <w:rPr>
          <w:rFonts w:ascii="Arial" w:eastAsia="Arial" w:hAnsi="Arial" w:cs="Arial"/>
          <w:i/>
          <w:iCs/>
        </w:rPr>
        <w:t>Anexo 6 - Programa de Trabalho.</w:t>
      </w:r>
    </w:p>
    <w:p w14:paraId="19645516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Demais subsídios estão demonstrados nos quadros em anexo, bem como os indicadores financeiros (despesa com pessoal, mínimos constitucionais e outros) conforme previsto no Artigo 7º da Lei 1.293/2025 (Lei de Diretrizes Orçamentárias).</w:t>
      </w:r>
    </w:p>
    <w:p w14:paraId="3920DA79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</w:rPr>
        <w:tab/>
        <w:t>Pelo ora exposto, pedimos a aprovação de mais este Projeto.</w:t>
      </w:r>
    </w:p>
    <w:p w14:paraId="3C6A379D" w14:textId="77777777" w:rsidR="008A0A38" w:rsidRDefault="008A0A38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</w:rPr>
      </w:pPr>
    </w:p>
    <w:p w14:paraId="51E44BD7" w14:textId="77777777" w:rsidR="008A0A38" w:rsidRDefault="00F20F64">
      <w:pPr>
        <w:tabs>
          <w:tab w:val="left" w:pos="709"/>
          <w:tab w:val="left" w:pos="1134"/>
          <w:tab w:val="left" w:pos="3544"/>
        </w:tabs>
        <w:spacing w:after="0" w:line="276" w:lineRule="auto"/>
        <w:ind w:left="-426" w:right="-4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GABINETE DA PREFEITA MUNICIPAL DE BOA VISTA DO SUL, AOS CATORZE DIAS DO MÊS DE NOVEMBRO DE 2025.</w:t>
      </w:r>
    </w:p>
    <w:p w14:paraId="3E3E4DB9" w14:textId="77777777" w:rsidR="008A0A38" w:rsidRDefault="008A0A38">
      <w:pPr>
        <w:tabs>
          <w:tab w:val="left" w:pos="709"/>
          <w:tab w:val="left" w:pos="1134"/>
          <w:tab w:val="left" w:pos="3544"/>
        </w:tabs>
        <w:spacing w:after="0" w:line="276" w:lineRule="auto"/>
        <w:ind w:left="-426" w:right="-427"/>
        <w:rPr>
          <w:rFonts w:ascii="Arial" w:eastAsia="Arial" w:hAnsi="Arial" w:cs="Arial"/>
        </w:rPr>
      </w:pPr>
    </w:p>
    <w:p w14:paraId="77388B25" w14:textId="77777777" w:rsidR="008A0A38" w:rsidRDefault="00F20F64">
      <w:pPr>
        <w:tabs>
          <w:tab w:val="left" w:pos="709"/>
        </w:tabs>
        <w:spacing w:after="0" w:line="276" w:lineRule="auto"/>
        <w:ind w:left="-426" w:right="-427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</w:p>
    <w:p w14:paraId="4F3EFB95" w14:textId="77777777" w:rsidR="008A0A38" w:rsidRDefault="00F20F64">
      <w:pPr>
        <w:tabs>
          <w:tab w:val="left" w:pos="1276"/>
          <w:tab w:val="left" w:pos="3402"/>
          <w:tab w:val="left" w:pos="4536"/>
        </w:tabs>
        <w:spacing w:after="0" w:line="276" w:lineRule="auto"/>
        <w:ind w:left="-426" w:right="-2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PATRÍCIA LÚCIA BAGATINI</w:t>
      </w:r>
    </w:p>
    <w:p w14:paraId="3E4667C2" w14:textId="77777777" w:rsidR="008A0A38" w:rsidRDefault="00F20F64">
      <w:pPr>
        <w:tabs>
          <w:tab w:val="left" w:pos="1276"/>
          <w:tab w:val="left" w:pos="3402"/>
          <w:tab w:val="left" w:pos="4536"/>
        </w:tabs>
        <w:spacing w:before="0" w:after="0" w:line="240" w:lineRule="auto"/>
        <w:ind w:left="-426" w:right="-28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Prefeita Municipal</w:t>
      </w:r>
    </w:p>
    <w:sectPr w:rsidR="008A0A38">
      <w:headerReference w:type="default" r:id="rId6"/>
      <w:pgSz w:w="11906" w:h="16838"/>
      <w:pgMar w:top="1418" w:right="1418" w:bottom="99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43398" w14:textId="77777777" w:rsidR="006D401B" w:rsidRDefault="006D401B">
      <w:pPr>
        <w:spacing w:before="0" w:after="0" w:line="240" w:lineRule="auto"/>
      </w:pPr>
      <w:r>
        <w:separator/>
      </w:r>
    </w:p>
  </w:endnote>
  <w:endnote w:type="continuationSeparator" w:id="0">
    <w:p w14:paraId="124832A4" w14:textId="77777777" w:rsidR="006D401B" w:rsidRDefault="006D40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AEE1A2-D70B-41E4-9659-4295AF9615A1}"/>
    <w:embedBold r:id="rId2" w:fontKey="{35F5621A-22DD-4FED-9805-BE52CF16F12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6534C57-BB7B-453F-AC27-07003556CB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32ABFE-A33C-4B45-BF3D-5EADE72BBE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7FF99" w14:textId="77777777" w:rsidR="006D401B" w:rsidRDefault="006D401B">
      <w:pPr>
        <w:spacing w:before="0" w:after="0" w:line="240" w:lineRule="auto"/>
      </w:pPr>
      <w:r>
        <w:separator/>
      </w:r>
    </w:p>
  </w:footnote>
  <w:footnote w:type="continuationSeparator" w:id="0">
    <w:p w14:paraId="356E3C45" w14:textId="77777777" w:rsidR="006D401B" w:rsidRDefault="006D40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0E571" w14:textId="77777777" w:rsidR="008A0A38" w:rsidRDefault="00F20F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31607D" wp14:editId="704F6E81">
          <wp:simplePos x="0" y="0"/>
          <wp:positionH relativeFrom="column">
            <wp:posOffset>2399347</wp:posOffset>
          </wp:positionH>
          <wp:positionV relativeFrom="paragraph">
            <wp:posOffset>83820</wp:posOffset>
          </wp:positionV>
          <wp:extent cx="781050" cy="771525"/>
          <wp:effectExtent l="0" t="0" r="0" b="0"/>
          <wp:wrapNone/>
          <wp:docPr id="1" name="image1.png" descr="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EE8F6" w14:textId="77777777" w:rsidR="008A0A38" w:rsidRDefault="008A0A38">
    <w:pPr>
      <w:pStyle w:val="Ttulo1"/>
      <w:spacing w:before="0" w:after="0"/>
      <w:jc w:val="center"/>
      <w:rPr>
        <w:rFonts w:ascii="Arial" w:eastAsia="Arial" w:hAnsi="Arial" w:cs="Arial"/>
        <w:b/>
        <w:bCs/>
        <w:sz w:val="24"/>
        <w:szCs w:val="24"/>
      </w:rPr>
    </w:pPr>
  </w:p>
  <w:p w14:paraId="33CBCEBB" w14:textId="77777777" w:rsidR="008A0A38" w:rsidRDefault="008A0A38">
    <w:pPr>
      <w:pStyle w:val="Ttulo1"/>
      <w:spacing w:before="0" w:after="0"/>
      <w:jc w:val="center"/>
      <w:rPr>
        <w:rFonts w:ascii="Arial" w:eastAsia="Arial" w:hAnsi="Arial" w:cs="Arial"/>
        <w:b/>
        <w:bCs/>
        <w:sz w:val="24"/>
        <w:szCs w:val="24"/>
      </w:rPr>
    </w:pPr>
  </w:p>
  <w:p w14:paraId="2CC6999A" w14:textId="77777777" w:rsidR="008A0A38" w:rsidRDefault="008A0A38">
    <w:pPr>
      <w:pStyle w:val="Ttulo1"/>
      <w:spacing w:before="0" w:after="0"/>
      <w:jc w:val="center"/>
      <w:rPr>
        <w:rFonts w:ascii="Arial" w:eastAsia="Arial" w:hAnsi="Arial" w:cs="Arial"/>
        <w:b/>
        <w:bCs/>
        <w:sz w:val="24"/>
        <w:szCs w:val="24"/>
      </w:rPr>
    </w:pPr>
  </w:p>
  <w:p w14:paraId="59FF6F3A" w14:textId="77777777" w:rsidR="008A0A38" w:rsidRDefault="00F20F64">
    <w:pPr>
      <w:pStyle w:val="Ttulo1"/>
      <w:spacing w:before="0" w:after="0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>ESTADO DO RIO GRANDE DO SUL</w:t>
    </w:r>
  </w:p>
  <w:p w14:paraId="375AEC72" w14:textId="77777777" w:rsidR="008A0A38" w:rsidRDefault="00F20F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PREFEITURA MUNICIPAL DE BOA VISTA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A38"/>
    <w:rsid w:val="000A52C0"/>
    <w:rsid w:val="005106A5"/>
    <w:rsid w:val="006D401B"/>
    <w:rsid w:val="00704CEC"/>
    <w:rsid w:val="00784127"/>
    <w:rsid w:val="008A0A38"/>
    <w:rsid w:val="009F28C9"/>
    <w:rsid w:val="00F2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6A1F7"/>
  <w15:docId w15:val="{C3EE2FA1-6463-4714-83F0-6A1540FD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before="120" w:after="12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tabs>
        <w:tab w:val="left" w:pos="0"/>
      </w:tabs>
      <w:spacing w:before="280" w:after="140" w:line="240" w:lineRule="auto"/>
      <w:ind w:firstLine="0"/>
      <w:jc w:val="left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0" w:after="0" w:line="240" w:lineRule="auto"/>
      <w:ind w:firstLine="0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Subttulo">
    <w:name w:val="Subtitle"/>
    <w:basedOn w:val="Normal"/>
    <w:next w:val="Normal"/>
    <w:pPr>
      <w:spacing w:after="60"/>
    </w:pPr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3587</Words>
  <Characters>19376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2025-11-14T18:50:00Z</dcterms:created>
  <dcterms:modified xsi:type="dcterms:W3CDTF">2025-11-14T18:50:00Z</dcterms:modified>
</cp:coreProperties>
</file>